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AD" w:rsidRPr="004E38AD" w:rsidRDefault="004E38AD" w:rsidP="004E3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38A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4E38AD">
        <w:rPr>
          <w:rFonts w:ascii="Arial" w:eastAsia="Times New Roman" w:hAnsi="Arial" w:cs="Arial"/>
          <w:color w:val="942D15"/>
          <w:sz w:val="38"/>
          <w:szCs w:val="38"/>
          <w:shd w:val="clear" w:color="auto" w:fill="FFFFFF"/>
          <w:lang w:eastAsia="tr-TR"/>
        </w:rPr>
        <w:t xml:space="preserve">Sahabe-i Kiramın Sünnete </w:t>
      </w:r>
      <w:proofErr w:type="spellStart"/>
      <w:r w:rsidRPr="004E38AD">
        <w:rPr>
          <w:rFonts w:ascii="Arial" w:eastAsia="Times New Roman" w:hAnsi="Arial" w:cs="Arial"/>
          <w:color w:val="942D15"/>
          <w:sz w:val="38"/>
          <w:szCs w:val="38"/>
          <w:shd w:val="clear" w:color="auto" w:fill="FFFFFF"/>
          <w:lang w:eastAsia="tr-TR"/>
        </w:rPr>
        <w:t>İttibada</w:t>
      </w:r>
      <w:proofErr w:type="spellEnd"/>
      <w:r w:rsidRPr="004E38AD">
        <w:rPr>
          <w:rFonts w:ascii="Arial" w:eastAsia="Times New Roman" w:hAnsi="Arial" w:cs="Arial"/>
          <w:color w:val="942D15"/>
          <w:sz w:val="38"/>
          <w:szCs w:val="38"/>
          <w:shd w:val="clear" w:color="auto" w:fill="FFFFFF"/>
          <w:lang w:eastAsia="tr-TR"/>
        </w:rPr>
        <w:t xml:space="preserve"> Gösterdiği Hassasiyet</w:t>
      </w:r>
    </w:p>
    <w:p w:rsidR="004E38AD" w:rsidRPr="004E38AD" w:rsidRDefault="004E38AD" w:rsidP="004E3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4E38AD">
        <w:rPr>
          <w:rFonts w:ascii="Georgia" w:eastAsia="Times New Roman" w:hAnsi="Georgia" w:cs="Times New Roman"/>
          <w:color w:val="000000"/>
          <w:sz w:val="26"/>
          <w:szCs w:val="26"/>
          <w:shd w:val="clear" w:color="auto" w:fill="FFFFFF"/>
          <w:lang w:eastAsia="tr-TR"/>
        </w:rPr>
        <w:t>Hazreti Ömer Efendimiz </w:t>
      </w: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radıyallâhu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anh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 de, şüphesiz ondan daha az hassas değildi. O, sünnetin hükümleri karşısında öylesine titizdi ki, konuşurken, talimat verirken, hutbe okurken, konuşmasının en can alıcı noktasında kendisine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Kitabullah'tan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ve Sünnet-i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Resûlullah'tan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bir hüküm hatırlatıldığında hemen dururdu. Bu yüzden onun için: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اَلْوَقَّافُ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عِنْدَ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الْحَقِّ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"Hak mevzubahis olunca hemen durup inkıyat eden." derlerdi. Hadis ve tarih kitaplarında: "Ömer hata etti, kadın doğruyu söyledi; bir kadın bile senden daha fakih ey Ömer; çarşılarda rızık peşinde dolaşmak, Ömer'i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Resûlullah'ın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meclislerinden, dinini öğrenmekten alıkoydu."[8] şeklinde, bizzat onun ifadesi olan ve o yüce kametini daha da yücelten pek çok misaller vardır. O dev insan, hak karşısında en ufak itirazda bulunmaz, bulunmayı aklının ucundan bile geçirmezdi.</w:t>
      </w:r>
    </w:p>
    <w:p w:rsidR="004E38AD" w:rsidRPr="004E38AD" w:rsidRDefault="004E38AD" w:rsidP="004E38A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 xml:space="preserve">4. Sünnete </w:t>
      </w:r>
      <w:proofErr w:type="spellStart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İttibadaki</w:t>
      </w:r>
      <w:proofErr w:type="spellEnd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 xml:space="preserve"> Hassasiyet</w:t>
      </w:r>
    </w:p>
    <w:p w:rsidR="004E38AD" w:rsidRPr="004E38AD" w:rsidRDefault="004E38AD" w:rsidP="004E38A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proofErr w:type="gramStart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a</w:t>
      </w:r>
      <w:proofErr w:type="gramEnd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.</w:t>
      </w: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 İşte bu büyük mantığın, büyük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firasetin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, büyük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kiyâsetin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ve büyük dehanın temsilcisi zat, bir gün el parmaklarının diyeti mevzuunda içtihatta bulunmuştu. Sahabeden biri ona itiraz edip: "Ey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Mü'minlerin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Emîri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! Ben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-i Ekrem'den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sallallâhu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aleyhi ve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sellem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 duydum, buyurdular ki: Bir elin beş parmağı, iki elin on parmağı, el için kararlaştırılan diyet ne ise onu eşit olarak bölüşürler. İki el tam bir diyet, bir el de onun yarısıysa, tek </w:t>
      </w:r>
      <w:proofErr w:type="gram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tek</w:t>
      </w:r>
      <w:proofErr w:type="gram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her parmağa on deve düşer."[9]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Hazreti Ömer, beyninden vurulmuşa dönmüştü ve: "Ey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Hattaboğlu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!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-i Ekrem'in eserinin olduğu yerde, sen nasıl içtihat edersin?" demişti. Evet, sünnet, sünnet insanında kendisini bütün ağırlığıyla hissettiriyordu.</w:t>
      </w:r>
    </w:p>
    <w:p w:rsidR="004E38AD" w:rsidRPr="004E38AD" w:rsidRDefault="004E38AD" w:rsidP="004E38A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proofErr w:type="gramStart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b</w:t>
      </w:r>
      <w:proofErr w:type="gramEnd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.</w:t>
      </w: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 Sahabenin,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Ümmi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Mektûm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gibi,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Sevbân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gibi, binek üstündeyken ellerinden kamçı düştüğünde dahi, "Ver!" dememek için inip kendileri alacak kadar istemekten hayâ ve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hazer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eden fakirlerinden Abdullah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Sa'dî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naklediyor: "Hazreti Ömer ganimetlerden bana bir pay ayırdı. Ben: 'Ey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emîre'l-mü'minin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, beni bu mevzuda zorlama!' dedim. Bana dedi ki: 'Vallahi, ben de senin gibiydim. Bir defasında, Allah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Resûlü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sallallâhu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aleyhi ve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sellem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), bana bir şey vermek istediğinde istiğna gösterdim. Buyurdular ki: 'Al bunu, mal edin kendine, istersen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tasadduk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edersin. Sen istemeden, beklemeden, dileyip dilenmeden sana bu dünya malından gelirse al, bunda beis yoktur.' Ben, sana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Resûlullah'ın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sözünü tekrar ediyorum. Onun, hakkımızda bu mevzuda verdiği hüküm budur.' "[10]</w:t>
      </w:r>
    </w:p>
    <w:p w:rsidR="004E38AD" w:rsidRPr="004E38AD" w:rsidRDefault="004E38AD" w:rsidP="004E38A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proofErr w:type="gramStart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c</w:t>
      </w:r>
      <w:proofErr w:type="gramEnd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.</w:t>
      </w: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 Yine bir defasında, Hazreti Ömer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radıyallâhu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anh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), şerefli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sahabi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Zeyd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Halid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el-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Cühenî'nin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mescitte ikindi namazından sonra namaz kıldığını gördü. Namaz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mü'minin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miracıdır, nurudur, sefine-i dinin direğidir. Namazla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nâmütenâhiye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yürünür, namazla sonsuzluklara yelken açılır. </w:t>
      </w:r>
      <w:proofErr w:type="gram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Ama,</w:t>
      </w:r>
      <w:proofErr w:type="gram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namazın da kılınacak vakti vardır, kılınamayacak vakti vardır; o, sünnete uygun kılındığında ibadet olur. Yoksa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bid'at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olur. Cumhura ve cumhur-u sahabeye göre ikindiden sonra nafile namaz kılınmaz; bu yüzden Ömer, elindeki kılıçla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Zeyd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Halid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el-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Cühenî'ye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vurur ve sünnet mevzuundaki hassasiyetini ortaya koyar. O'nun bu hassasiyetine karşı, Hazreti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Zeyd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de aynı hassasiyetle cevap verir: "Başımı parça parça da etsen, Allah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Resûlü'nü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ikindiden sonra nafile namaz kılarken gördüğüm için, bu iki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rekâtcığı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asla terk etmeyeceğim."[11]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Bu mevzuda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Ümm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-ü Seleme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Validemiz'den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gelen bir rivayet vardır: Efendimiz,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evrâdını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, nafilelerini, hatta âdet edindiği ibadetlerinin hiçbirini terk etmezdi. Şayet </w:t>
      </w: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lastRenderedPageBreak/>
        <w:t xml:space="preserve">geceyi ihya edememişse kalkar, namazla-niyazla gündüzü nurlandırırdı. Bu cümleden olarak, bir gün misafir heyetler bastırdı ve öğlenin son sünnetini kılamadı. Derken ikindi oldu ve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mescidde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ikindi namazını eda ettikten sonra hücre-i saadete çekilip, öğlenin geçen son sünnetini kıldı.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Ümmü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Seleme Validemiz: "İkindiden sonra namaz var mı?" diye sordu ve şu cevabı aldı. "Gelen heyet, beni meşgul etti. Öğlenin son iki rekâtını kılamadım; eksik kalmasın diye şimdi kıldım."[12]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İhtimal,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Zeyd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Halid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el-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Cühenî'nin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Efendimiz'den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gördüğü de, bu veya buna benzer bir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vak'aydı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. Evet, bu fıkhî meselenin menşei her ne olursa olsun, önemli bir hususu hatırlatmakta ki o da, sahabe-i kiramın her ferdinin sünnet mevzuunda gösterdiği derin hassasiyettir.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Sünnet mevzuunda son derece hassas olan Hazreti Ömer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radıyallâhu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anh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), secdedeyken hançer yemiş ve öyle bir yolla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Rabbisine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yürümüştü. Son dakikaları ki O'nun o vaziyetini en iyi anlatan "Nabzıma el vurdu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binbir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tabîbân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/ Dediler, derman yok buna, ne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çâre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?" mısralarıydı. İşte, o esnada: "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Yâ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emîre'l-mü'minin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, yerine birini tavsiye eder misin?" dediklerinde, verdiği cevaplar, onun nasıl bir sünnet kahramanı olduğunu göstermesi bakımından çok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mânidardır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: "Eğer yerime birini bırakacak olursam, gerçek şu ki, benden hayırlı olanı da bırakmıştı; bırakmayacak olursam, benden hayırlı olan da bırakmamıştı."[13]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Efendimiz'in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sallallâhu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aleyhi ve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sellem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 bırakmadığını, Hazreti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Ebû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Bekir'in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radıyallâhu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anh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 ise bıraktığını ve her ne şekilde davranırsa davransın, sünnete muhalefet etmiş olmayacağını ifade ediyordu. Ancak,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Resûlullah'la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sallallâhu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aleyhi ve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sellem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), -Hazreti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Ebû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Bekir de olsa- bir başkası bahis mevzuu edildiğinde, tercih,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Resûlullah'ın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sarîh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yolu istikametinde olacaktı.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proofErr w:type="gram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İşte, Hazreti Ömer de böyle yapmakla beraber, ümmetin salâhı adına orta bir yol tutmuş: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Efendimiz'in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sallallâhu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aleyhi ve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sellem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 vefat ederken kendilerinden razı olduğu Cennet'le müjdelenmiş on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sahabiden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altısı o gün henüz hayattaydı ve oğlu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Ömer'i hakem,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Ka'ka'ayı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da kapılarında nöbetçi yaparak: "Daha benim cenazem kalkmadan bu işi aranızda halledin!" deyip, meseleyi onlara havale etmişti. Zira,</w:t>
      </w:r>
      <w:proofErr w:type="gram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ümmet-i Muhammed'in çok kısa bir süre için bile olsa, başsız kalmasını istemiyordu.</w:t>
      </w:r>
    </w:p>
    <w:p w:rsidR="004E38AD" w:rsidRPr="004E38AD" w:rsidRDefault="004E38AD" w:rsidP="004E38A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proofErr w:type="gramStart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d</w:t>
      </w:r>
      <w:proofErr w:type="gramEnd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.</w:t>
      </w: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 Yine, Hazreti Ömer,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devr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-i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hilâfetpenâhîlerinde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Kâbe'yi tavaf ederken geçmiş peygamberlerin bûselerine mazhar olmuş bulunan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Hacerü'l-Es'ad'e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(Saadetli Taş) yaklaştı. Bu her ne kadar Allah'ın sırrını ve nurunu ihtiva ediyor da olsa bir taştır. Cihanı idare eden o muhteşem dimağ, yaklaştı ona ve şöyle dedi:</w:t>
      </w:r>
    </w:p>
    <w:p w:rsidR="004E38AD" w:rsidRPr="004E38AD" w:rsidRDefault="004E38AD" w:rsidP="004E38AD">
      <w:pPr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tr-TR"/>
        </w:rPr>
        <w:t>إِنِّي أَعْلَمُ أَنَّكَ حَجَرٌ لاَ تَضُرُّ وَلاَ تَنْفَعُ، وَلَوْلاَ أَنِّي رَأَيْتُ رَسُولَ اللّٰهِ  يُقَبِّلُكَ مَا قَبَّلْتُكَ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rtl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"Biliyorum ki, sen bir taşsın; fayda da vermezsin, zarar da. Eğer,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Resûlullah'ı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seni öperken görmemiş olsaydım, ben de seni öpmezdim."[14] Evet, Hazreti Ömer'in o mübarek taşı öpmesine sebep, sünnete olan bağlılığıydı.</w:t>
      </w:r>
    </w:p>
    <w:p w:rsidR="004E38AD" w:rsidRPr="004E38AD" w:rsidRDefault="004E38AD" w:rsidP="004E38A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proofErr w:type="gramStart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e</w:t>
      </w:r>
      <w:proofErr w:type="gramEnd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.</w:t>
      </w: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 Sünnet, sahabe-i kiram için mukaddes bir emanetti ve ona riayet ölçüsünde Allah'a ve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Resûlullah'a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kurbiyet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kazanacaklardı. -Allah korusun!- riayet etmezlerse, belki de hain muamelesi göreceklerdi. İşte, Hazreti Ali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radıyallâhu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anh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Meysere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Yakub'un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rivayetine göre,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Kûfe'deyken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bir defasında ayakta su içti.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Meysere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: "Ayakta su mu </w:t>
      </w: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lastRenderedPageBreak/>
        <w:t xml:space="preserve">içiyorsun?" diye sorunca da şu cevabı verdi: "Ayakta içmişsem,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Resûlullah'ı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sallallâhu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aleyhi ve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sellem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 ayakta içerken gördüğümdendir; otururken içersem,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Resûlullah'ın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oturarak içtiğini gördüğümdendir."[15]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Sınırları korumak gerekiyordu; evet o nasıl yapmışsa öyle yapmak ve aynı şekilde gelecek nesillere intikal ettirmek iktiza ediyordu. Gerçi,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Efendimiz'in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oturarak içme hususunda tavsiyeleri ve buna terettüp eden birtakım faydalar varsa da, bu bir vecibe değildi ve "Ayakta hiç su içilmez." diye,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âdâb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noBreakHyphen/>
        <w:t xml:space="preserve">ı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nebevî'yi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farz yerine koyup herkesi bir noktaya zorlamanın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mânâsı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da yoktu.</w:t>
      </w:r>
    </w:p>
    <w:p w:rsidR="004E38AD" w:rsidRPr="004E38AD" w:rsidRDefault="004E38AD" w:rsidP="004E38A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proofErr w:type="gramStart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f</w:t>
      </w:r>
      <w:proofErr w:type="gramEnd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.</w:t>
      </w: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 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Abd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Hayr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naklediyor: "Hazreti Ali, mestlerin üstünün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meshedilmesi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mevzuunda şöyle buyurur: '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Resûlullah'ı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mestlerin üstünü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meshederken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görmemiş olsaydım, bana göre onların altını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meshetmek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daha uygun olurdu.' "[16]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Onun bu ferdî görüşü sünnete teslim olmanın ve sünnetin olduğu yerde içtihada tevessül edilemeyeceğinin </w:t>
      </w:r>
      <w:proofErr w:type="gram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ifadesiydi;</w:t>
      </w:r>
      <w:proofErr w:type="gram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ve işte onlar, sünnet mevzuunda bu kadar hassas idiler.</w:t>
      </w:r>
    </w:p>
    <w:p w:rsidR="004E38AD" w:rsidRPr="004E38AD" w:rsidRDefault="004E38AD" w:rsidP="004E38A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proofErr w:type="gramStart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g.</w:t>
      </w:r>
      <w:proofErr w:type="gram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 Hazreti Ali olsun, Hazreti Osman olsun, Hazreti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Ebû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Bekir veya Hazreti Ömer olsun, ya da bütün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sahabiler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olsun, ne zaman kendi görüşlerinin aksine sünnetten bir hüküm rivayet edilse, hemen o anda sünnete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ittiba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eder ve çevreye yayılmış da olsa, kendi görüşlerini derhal terk ederlerdi.</w:t>
      </w:r>
    </w:p>
    <w:p w:rsidR="004E38AD" w:rsidRPr="004E38AD" w:rsidRDefault="004E38AD" w:rsidP="004E38A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İşte, yine Hazreti Ömer; İslâm'da bilhassa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hatâen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öldürmelerde diyet,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âkıleye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düşer; yani, bir kişi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hatâen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birini öldürse, öldürülenin diyetini vermek, öldürene değil: </w:t>
      </w:r>
      <w:proofErr w:type="spellStart"/>
      <w:r w:rsidRPr="004E38AD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tr-TR"/>
        </w:rPr>
        <w:t>بِحَسَبِ</w:t>
      </w:r>
      <w:proofErr w:type="spellEnd"/>
      <w:r w:rsidRPr="004E38AD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tr-TR"/>
        </w:rPr>
        <w:t>الْمَغْرَمِ</w:t>
      </w:r>
      <w:proofErr w:type="spellEnd"/>
      <w:r w:rsidRPr="004E38AD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tr-TR"/>
        </w:rPr>
        <w:t>الْمَغْنَمُ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 'Borç ve harç ölçüsünde fayda' kaidesi gereği, öldürenin mirasçılarına düşer ve bunlara '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âkıle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' denir. Hazreti Ömer Efendimiz, bu mevzuda kadının kocasının diyetine mirasçı olamayacağı kanaatinde idi. </w:t>
      </w:r>
      <w:proofErr w:type="gram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Fakat,</w:t>
      </w:r>
      <w:proofErr w:type="gram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Dahhâk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Ebî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Süfyan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kendisine: "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Yâ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emîre'l-mü'minîn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, siz böyle hüküm veriyorsunuz ama,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Eşyem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Dıbâbî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vefat edince, Allah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Resûlü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sallallâhu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aleyhi ve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sellem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 onun diyetinden zevcesine miras verdi." deyince, Hazreti Ömer kararını değiştirmiş ve: "Bundan sonra, kadınlar kocalarının diyetinden miras alacaklardır."[17] diye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ilanatta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bulunmuştur.</w:t>
      </w:r>
    </w:p>
    <w:p w:rsidR="004E38AD" w:rsidRPr="004E38AD" w:rsidRDefault="004E38AD" w:rsidP="004E38A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proofErr w:type="gramStart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ğ</w:t>
      </w:r>
      <w:proofErr w:type="gramEnd"/>
      <w:r w:rsidRPr="004E38A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tr-TR"/>
        </w:rPr>
        <w:t>.</w:t>
      </w: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 Ümmetin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emîni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Ebû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Ubeyde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Cerrah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radıyallâhu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anh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), Hazreti Ömer'in en çok sevdiği dostlarından biriydi. O kadar ki, ölümle pençeleştiği demlerde: "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Ebû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Ubeyde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hayatta olsaydı, yerime onu tavsiye ederdim." buyurmuştu.[18] Evet, onca sıkıntıdan sonra Müslümanlara yönelen dünya,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Ebû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Ubeyde'de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en ufak bir değişiklik yapmamıştı. Bir defasında, Hazreti Ömer, bu şerefli sahabenin çadırına girdiğinde, fatih ordulara kumanda eden bu büyük zatı, kumların üzerinde okunu hazırlayıp, yayını gererken bulmuş ve: "Dünya herkesi değiştirdi </w:t>
      </w:r>
      <w:proofErr w:type="gram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ama,</w:t>
      </w:r>
      <w:proofErr w:type="gram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seni değiştiremedi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yâ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Ebâ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Ubeyde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!" diyerek ağlamıştı.[19]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Evet, Hazreti Ömer onu o kadar seviyordu.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Ebû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Ubeyde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radıyallâhu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anh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 başkumandanken,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Amvâs'ta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İslâm ordusuna veba musallat oldu. Hazreti Ömer,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Amvâs'a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kadar gelmiş ve vefakâr dostu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Ebû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Ubeyde'yi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ziyaret etmek istemiş </w:t>
      </w:r>
      <w:proofErr w:type="gram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ama,</w:t>
      </w:r>
      <w:proofErr w:type="gram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salgın vebadan dolayı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Amvâs'a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girmesi uygun görülmemişti. Görülmemişti </w:t>
      </w:r>
      <w:proofErr w:type="gram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ama,</w:t>
      </w:r>
      <w:proofErr w:type="gram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askerlerini ve hele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Ebû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Ubeyde'yi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görmeden oradan ayrılmayı hazmedemiyordu. O, bu düşünceler içindeyken, Abdurrahman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Avf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geldi ve: "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Yâ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emîre'l-mü'minîn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, ben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Resûlullah'tan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şunu işittim, buyurdular ki:</w:t>
      </w:r>
    </w:p>
    <w:p w:rsidR="004E38AD" w:rsidRPr="004E38AD" w:rsidRDefault="004E38AD" w:rsidP="004E38AD">
      <w:pPr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rtl/>
          <w:lang w:eastAsia="tr-TR"/>
        </w:rPr>
        <w:t>إِذَا سَمِعْتُمْ بِالطَّاعُونِ فَلاَ تَدْخُلُوهَا، وَإِذَا وَقَعَ بِأَرْضٍ وَأَنْتُمْ بِهَا فَلاَ تَخْرُجُوا مِنْهَا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rtl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lastRenderedPageBreak/>
        <w:t xml:space="preserve">"Bir yerde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vebâ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çıktığını duyarsanız, oraya adımınızı atmayın; bulunduğunuz yerde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vebâ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başgösterirse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, o zaman oradan çıkmayın."[20]</w:t>
      </w:r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proofErr w:type="gram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Hazreti Ömer Efendimiz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radıyallâhu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anh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Yezid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-i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Ebî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Süfyan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radıyallâhu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anh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 ve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Muaz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-i Cebel (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radıyallâhu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anh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) gibi sahabenin büyüklerinin de içinde bulunduğu, o güzîdeler güzîdesi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kudsîler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ordusundan pek çoğunu önüne katıp götüren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vebâlı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 şehre girmedi ve sünnet hatırına vefakâr dostunu göremeyerek, içi yana yana bulunduğu yerden geri döndü.</w:t>
      </w:r>
      <w:proofErr w:type="gramEnd"/>
    </w:p>
    <w:p w:rsidR="004E38AD" w:rsidRPr="004E38AD" w:rsidRDefault="004E38AD" w:rsidP="004E38AD">
      <w:pPr>
        <w:spacing w:after="27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 xml:space="preserve">İşte sünnet, bu hassas ruhlar </w:t>
      </w:r>
      <w:proofErr w:type="spellStart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meşcereliğinde</w:t>
      </w:r>
      <w:proofErr w:type="spellEnd"/>
      <w:r w:rsidRPr="004E38AD">
        <w:rPr>
          <w:rFonts w:ascii="inherit" w:eastAsia="Times New Roman" w:hAnsi="inherit" w:cs="Times New Roman"/>
          <w:color w:val="000000"/>
          <w:sz w:val="26"/>
          <w:szCs w:val="26"/>
          <w:lang w:eastAsia="tr-TR"/>
        </w:rPr>
        <w:t>, şok seviyesindeki hâdiselerle beslene beslene ve hayatla yoğrula yoğrula hadis muhakkiklerinin kitaplarına aktı... Ve gelip bize ulaştı.</w:t>
      </w:r>
    </w:p>
    <w:p w:rsidR="004E38AD" w:rsidRPr="004E38AD" w:rsidRDefault="004E38AD" w:rsidP="004E3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38A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noshade="t" o:hr="t" fillcolor="#4a483f" stroked="f"/>
        </w:pict>
      </w:r>
    </w:p>
    <w:p w:rsidR="004E38AD" w:rsidRPr="004E38AD" w:rsidRDefault="004E38AD" w:rsidP="004E38AD">
      <w:pPr>
        <w:spacing w:after="270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</w:pP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Dipnotlar:</w:t>
      </w:r>
    </w:p>
    <w:p w:rsidR="004E38AD" w:rsidRPr="004E38AD" w:rsidRDefault="004E38AD" w:rsidP="004E38AD">
      <w:pPr>
        <w:spacing w:after="270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</w:pPr>
      <w:proofErr w:type="gram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[1] Nisâ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sûresi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4/65.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[2]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Sa'd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et-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Tabakâtü'l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kübrâ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2/190-191.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[3]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Sa'd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et-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Tabakâtü'l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kübrâ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2/191;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Hişâm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es-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Sîratü'n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nebeviyye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4/301.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[4]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Buhârî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ferâiz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3; Müslim,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cihad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52.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[5]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Buhârî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humus 1;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megâzî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14; Müslim,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cihad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52.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[6]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Buhârî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iman 17; Müslim, iman 36.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[7]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Buhârî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zekât 17; Müslim, iman 32.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[8]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Beyhakî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es-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Sünenü'l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kübrâ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7/233;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Heysemî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Mecmeu'z-zevâid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4/284.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[9]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Abdürrezzak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el-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Musannef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9/383, 385.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[10]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Buhârî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ahkâm 17; Müslim, zekât 111.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[11]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Abdürrezzak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Musannef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2/431;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Ahmed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b.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Hanbel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el-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Müsned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4/115;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Taberânî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el-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Mu'cemü'l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kebîr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5/228.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[12]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Buhârî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mevâkît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33;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Tirmizî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salât 21.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[13]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Buhârî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ahkâm 51; Müslim,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imâret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11.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[14]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Buhârî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hac 50; Müslim, hac 248-251.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[15]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Ahmed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b.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Hanbel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el-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Müsned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1/134.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[16]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Ebû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Dâvûd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tahâret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63.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[17]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Tirmizî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ferâiz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18;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Ebû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Dâvûd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ferâiz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18.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[18]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Ebî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Şeybe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Musannef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6/391;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Sa'd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et-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Tabakatü'l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-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kübrâ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3/343.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[19]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İbn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Esîr,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Üsdü'l-gâbe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, 6/206.</w:t>
      </w:r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br/>
        <w:t xml:space="preserve">[20]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Buhârî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, </w:t>
      </w:r>
      <w:proofErr w:type="spellStart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>tıb</w:t>
      </w:r>
      <w:proofErr w:type="spellEnd"/>
      <w:r w:rsidRPr="004E38AD">
        <w:rPr>
          <w:rFonts w:ascii="inherit" w:eastAsia="Times New Roman" w:hAnsi="inherit" w:cs="Times New Roman"/>
          <w:color w:val="000000"/>
          <w:sz w:val="18"/>
          <w:szCs w:val="18"/>
          <w:lang w:eastAsia="tr-TR"/>
        </w:rPr>
        <w:t xml:space="preserve"> 30; Müslim, selâm 92, 94, 98.</w:t>
      </w:r>
      <w:proofErr w:type="gramEnd"/>
    </w:p>
    <w:p w:rsidR="00D41B16" w:rsidRDefault="00D41B16"/>
    <w:sectPr w:rsidR="00D4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D"/>
    <w:rsid w:val="004E38AD"/>
    <w:rsid w:val="00D4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7DAE8-165C-4476-A43B-BB047A12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1720</Words>
  <Characters>9806</Characters>
  <Application>Microsoft Office Word</Application>
  <DocSecurity>0</DocSecurity>
  <Lines>81</Lines>
  <Paragraphs>23</Paragraphs>
  <ScaleCrop>false</ScaleCrop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malkomx şahbaz</dc:creator>
  <cp:keywords/>
  <dc:description/>
  <cp:lastModifiedBy>malkomx şahbaz</cp:lastModifiedBy>
  <cp:revision>2</cp:revision>
  <dcterms:created xsi:type="dcterms:W3CDTF">2015-02-23T19:40:00Z</dcterms:created>
  <dcterms:modified xsi:type="dcterms:W3CDTF">2015-02-23T19:42:00Z</dcterms:modified>
</cp:coreProperties>
</file>